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35E5" w14:textId="77777777" w:rsidR="00DC1C1F" w:rsidRPr="008772D2" w:rsidRDefault="00DC1C1F" w:rsidP="00DC1C1F">
      <w:pPr>
        <w:widowControl w:val="0"/>
        <w:kinsoku w:val="0"/>
        <w:overflowPunct w:val="0"/>
        <w:spacing w:before="830" w:after="120" w:line="217" w:lineRule="exact"/>
        <w:ind w:right="603"/>
        <w:textAlignment w:val="baseline"/>
        <w:rPr>
          <w:rFonts w:ascii="Times New Roman" w:eastAsiaTheme="minorEastAsia" w:hAnsi="Times New Roman" w:cs="Times New Roman"/>
          <w:b/>
          <w:bCs/>
          <w:kern w:val="0"/>
          <w:sz w:val="20"/>
          <w:szCs w:val="20"/>
          <w:lang w:val="en-US"/>
        </w:rPr>
      </w:pPr>
      <w:r w:rsidRPr="008772D2">
        <w:rPr>
          <w:rFonts w:ascii="Times New Roman" w:eastAsiaTheme="minorEastAsia" w:hAnsi="Times New Roman" w:cs="Times New Roman"/>
          <w:b/>
          <w:bCs/>
          <w:kern w:val="0"/>
          <w:sz w:val="20"/>
          <w:szCs w:val="20"/>
          <w:lang w:val="en-US"/>
        </w:rPr>
        <w:t>D. CHESTIONAR DE AUTOEVALUARE PENTRU FURNIZORII DE SERVICH MEDICALE PARACLINICE - ANALIZE MEDICALE DE LABORATOR</w:t>
      </w:r>
    </w:p>
    <w:tbl>
      <w:tblPr>
        <w:tblW w:w="10632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6566"/>
        <w:gridCol w:w="1276"/>
        <w:gridCol w:w="1275"/>
      </w:tblGrid>
      <w:tr w:rsidR="00DC1C1F" w:rsidRPr="008772D2" w14:paraId="4E8BD45E" w14:textId="77777777" w:rsidTr="00DC1C1F">
        <w:trPr>
          <w:trHeight w:hRule="exact" w:val="922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732A61C" w14:textId="77777777" w:rsidR="00DC1C1F" w:rsidRDefault="00DC1C1F" w:rsidP="00167666">
            <w:pPr>
              <w:widowControl w:val="0"/>
              <w:kinsoku w:val="0"/>
              <w:overflowPunct w:val="0"/>
              <w:spacing w:before="34" w:after="0" w:line="221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</w:p>
          <w:p w14:paraId="75EE4E6E" w14:textId="5D692EBB" w:rsidR="00DC1C1F" w:rsidRPr="008772D2" w:rsidRDefault="00DC1C1F" w:rsidP="00167666">
            <w:pPr>
              <w:widowControl w:val="0"/>
              <w:kinsoku w:val="0"/>
              <w:overflowPunct w:val="0"/>
              <w:spacing w:before="34" w:after="0" w:line="221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STANDARD</w:t>
            </w: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br/>
              <w:t>CRITERII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243D3A9" w14:textId="77777777" w:rsidR="00DC1C1F" w:rsidRPr="008772D2" w:rsidRDefault="00DC1C1F" w:rsidP="00167666">
            <w:pPr>
              <w:widowControl w:val="0"/>
              <w:kinsoku w:val="0"/>
              <w:overflowPunct w:val="0"/>
              <w:spacing w:before="363" w:after="328" w:line="230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DESCRIERE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F1BE46C" w14:textId="75B0DBEB" w:rsidR="00DC1C1F" w:rsidRPr="008772D2" w:rsidRDefault="00DC1C1F" w:rsidP="00167666">
            <w:pPr>
              <w:widowControl w:val="0"/>
              <w:kinsoku w:val="0"/>
              <w:overflowPunct w:val="0"/>
              <w:spacing w:before="286" w:after="203" w:line="216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EVALUARE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C16B789" w14:textId="2A9CD376" w:rsidR="00DC1C1F" w:rsidRPr="008772D2" w:rsidRDefault="00DC1C1F" w:rsidP="00167666">
            <w:pPr>
              <w:widowControl w:val="0"/>
              <w:kinsoku w:val="0"/>
              <w:overflowPunct w:val="0"/>
              <w:spacing w:before="281" w:after="198" w:line="221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OBSERVAŢII</w:t>
            </w:r>
          </w:p>
        </w:tc>
      </w:tr>
      <w:tr w:rsidR="00DC1C1F" w:rsidRPr="008772D2" w14:paraId="3CF101B8" w14:textId="77777777" w:rsidTr="00DC1C1F">
        <w:trPr>
          <w:trHeight w:hRule="exact" w:val="297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655EEC91" w14:textId="3A9837EC" w:rsidR="00DC1C1F" w:rsidRPr="00DC1C1F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ro-RO"/>
              </w:rPr>
            </w:pPr>
            <w:r w:rsidRPr="00DC1C1F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ro-RO"/>
              </w:rPr>
              <w:t>I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05A66F64" w14:textId="4BFAC944" w:rsidR="00DC1C1F" w:rsidRPr="00DC1C1F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ro-RO"/>
              </w:rPr>
            </w:pPr>
            <w:r w:rsidRPr="00DC1C1F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ro-RO"/>
              </w:rPr>
              <w:t>STANDARD REFERITOR LA ORGANIZARE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5D0BF457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2EA9A378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7EFB7C16" w14:textId="77777777" w:rsidTr="00DC1C1F">
        <w:trPr>
          <w:trHeight w:hRule="exact" w:val="735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4DBC27E" w14:textId="77777777" w:rsidR="00DC1C1F" w:rsidRPr="00DC1C1F" w:rsidRDefault="00DC1C1F" w:rsidP="00DC1C1F">
            <w:pPr>
              <w:widowControl w:val="0"/>
              <w:kinsoku w:val="0"/>
              <w:overflowPunct w:val="0"/>
              <w:spacing w:after="487" w:line="230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I.1*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DC11CA8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38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Furnizorul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certificat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inregistrare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registrul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unic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cabinetelor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eliberat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Direcţia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Sănătate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Publică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sau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statut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legal din care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reiese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obiectul de activitate, conform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prevederilor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legale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47564C5" w14:textId="77777777" w:rsidR="00DC1C1F" w:rsidRPr="008772D2" w:rsidRDefault="00DC1C1F" w:rsidP="00DC1C1F">
            <w:pPr>
              <w:widowControl w:val="0"/>
              <w:kinsoku w:val="0"/>
              <w:overflowPunct w:val="0"/>
              <w:spacing w:before="277" w:after="220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6A7D0A0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43030C8C" w14:textId="77777777" w:rsidTr="00DC1C1F">
        <w:trPr>
          <w:trHeight w:hRule="exact" w:val="504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0D462C3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58" w:line="22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I.2*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DD959A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39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Furnizorul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autorizaţie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sanitară in vigoare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eliberată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Direcţia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Sănătate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Publică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5C108B7" w14:textId="77777777" w:rsidR="00DC1C1F" w:rsidRPr="008772D2" w:rsidRDefault="00DC1C1F" w:rsidP="00DC1C1F">
            <w:pPr>
              <w:widowControl w:val="0"/>
              <w:kinsoku w:val="0"/>
              <w:overflowPunct w:val="0"/>
              <w:spacing w:before="154" w:after="112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978312A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4BE0B41F" w14:textId="77777777" w:rsidTr="00DC1C1F">
        <w:trPr>
          <w:trHeight w:hRule="exact" w:val="288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7052D1A" w14:textId="08A03922" w:rsidR="00DC1C1F" w:rsidRPr="008772D2" w:rsidRDefault="001734B9" w:rsidP="00DC1C1F">
            <w:pPr>
              <w:widowControl w:val="0"/>
              <w:kinsoku w:val="0"/>
              <w:overflowPunct w:val="0"/>
              <w:spacing w:after="45" w:line="22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.3*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CA01AE8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29" w:line="228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Furnizorul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îi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desfăşoară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activitatea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intr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-un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spaţiu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care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dispune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mod legal.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53515AA" w14:textId="77777777" w:rsidR="00DC1C1F" w:rsidRPr="008772D2" w:rsidRDefault="00DC1C1F" w:rsidP="00DC1C1F">
            <w:pPr>
              <w:widowControl w:val="0"/>
              <w:kinsoku w:val="0"/>
              <w:overflowPunct w:val="0"/>
              <w:spacing w:before="41" w:after="9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08CFD5D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504C0D42" w14:textId="77777777" w:rsidTr="00DC1C1F">
        <w:trPr>
          <w:trHeight w:hRule="exact" w:val="489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66AF337" w14:textId="292EB324" w:rsidR="00DC1C1F" w:rsidRPr="008772D2" w:rsidRDefault="001734B9" w:rsidP="00DC1C1F">
            <w:pPr>
              <w:widowControl w:val="0"/>
              <w:kinsoku w:val="0"/>
              <w:overflowPunct w:val="0"/>
              <w:spacing w:after="248" w:line="22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.4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0013250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35" w:lineRule="exact"/>
              <w:ind w:right="180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Furnizorul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Regulamentul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Intern de care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intreg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personalul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luat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cunoştinţă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scris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8F3FCC7" w14:textId="77777777" w:rsidR="00DC1C1F" w:rsidRPr="008772D2" w:rsidRDefault="00DC1C1F" w:rsidP="00DC1C1F">
            <w:pPr>
              <w:widowControl w:val="0"/>
              <w:kinsoku w:val="0"/>
              <w:overflowPunct w:val="0"/>
              <w:spacing w:before="143" w:after="108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33556B4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445D6296" w14:textId="77777777" w:rsidTr="00DC1C1F">
        <w:trPr>
          <w:trHeight w:hRule="exact" w:val="495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0A57CF7" w14:textId="00A87323" w:rsidR="00DC1C1F" w:rsidRPr="008772D2" w:rsidRDefault="001734B9" w:rsidP="00DC1C1F">
            <w:pPr>
              <w:widowControl w:val="0"/>
              <w:kinsoku w:val="0"/>
              <w:overflowPunct w:val="0"/>
              <w:spacing w:after="262" w:line="22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.5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7B7B6FE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3" w:line="239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Furnizorul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Regulamentul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Organizare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Funcţionare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care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intreg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personalul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luat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cunoştinţă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scris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DF40F02" w14:textId="77777777" w:rsidR="00DC1C1F" w:rsidRPr="008772D2" w:rsidRDefault="00DC1C1F" w:rsidP="00DC1C1F">
            <w:pPr>
              <w:widowControl w:val="0"/>
              <w:kinsoku w:val="0"/>
              <w:overflowPunct w:val="0"/>
              <w:spacing w:before="144" w:after="122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6F0864F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4A9DAF74" w14:textId="77777777" w:rsidTr="00DC1C1F">
        <w:trPr>
          <w:cantSplit/>
          <w:trHeight w:hRule="exact" w:val="494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D9BDED2" w14:textId="47B169DB" w:rsidR="00DC1C1F" w:rsidRPr="008772D2" w:rsidRDefault="001734B9" w:rsidP="00DC1C1F">
            <w:pPr>
              <w:widowControl w:val="0"/>
              <w:kinsoku w:val="0"/>
              <w:overflowPunct w:val="0"/>
              <w:spacing w:after="258" w:line="22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.6*</w:t>
            </w:r>
          </w:p>
        </w:tc>
        <w:tc>
          <w:tcPr>
            <w:tcW w:w="656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6FBFFF52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85" w:line="242" w:lineRule="exact"/>
              <w:ind w:right="-11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Furnizorul face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dovada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deţinerii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asigurării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răspundere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civilă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domeniul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medical.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3B2CF3F" w14:textId="77777777" w:rsidR="00DC1C1F" w:rsidRPr="008772D2" w:rsidRDefault="00DC1C1F" w:rsidP="00DC1C1F">
            <w:pPr>
              <w:widowControl w:val="0"/>
              <w:kinsoku w:val="0"/>
              <w:overflowPunct w:val="0"/>
              <w:spacing w:before="145" w:after="116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DC5716F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17DC1049" w14:textId="77777777" w:rsidTr="001734B9">
        <w:trPr>
          <w:cantSplit/>
          <w:trHeight w:hRule="exact" w:val="80"/>
        </w:trPr>
        <w:tc>
          <w:tcPr>
            <w:tcW w:w="151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C0C0C0" w:fill="auto"/>
            <w:vAlign w:val="center"/>
          </w:tcPr>
          <w:p w14:paraId="1E60BFFF" w14:textId="7C090193" w:rsidR="00DC1C1F" w:rsidRPr="008772D2" w:rsidRDefault="00DC1C1F" w:rsidP="00DC1C1F">
            <w:pPr>
              <w:widowControl w:val="0"/>
              <w:kinsoku w:val="0"/>
              <w:overflowPunct w:val="0"/>
              <w:spacing w:before="32" w:after="6" w:line="230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2B4BA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2B4BA"/>
                <w:lang w:val="en-US"/>
              </w:rPr>
              <w:t>I</w:t>
            </w:r>
            <w:r w:rsidR="001734B9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2B4BA"/>
                <w:lang w:val="en-US"/>
              </w:rPr>
              <w:t>I</w:t>
            </w:r>
          </w:p>
        </w:tc>
        <w:tc>
          <w:tcPr>
            <w:tcW w:w="6566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0B25EBA" w14:textId="77777777" w:rsidR="00DC1C1F" w:rsidRPr="008772D2" w:rsidRDefault="00DC1C1F" w:rsidP="00167666">
            <w:pPr>
              <w:widowControl w:val="0"/>
              <w:kinsoku w:val="0"/>
              <w:overflowPunct w:val="0"/>
              <w:spacing w:before="32" w:after="6" w:line="230" w:lineRule="exact"/>
              <w:ind w:right="47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2B4BA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C0C0C0" w:fill="auto"/>
          </w:tcPr>
          <w:p w14:paraId="55E8A4D0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C0C0C0" w:fill="auto"/>
          </w:tcPr>
          <w:p w14:paraId="5907B5F3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20447E9F" w14:textId="77777777" w:rsidTr="00DC1C1F">
        <w:trPr>
          <w:cantSplit/>
          <w:trHeight w:hRule="exact" w:val="187"/>
        </w:trPr>
        <w:tc>
          <w:tcPr>
            <w:tcW w:w="151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70696E4C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17B95924" w14:textId="10B5A61A" w:rsidR="00DC1C1F" w:rsidRPr="008772D2" w:rsidRDefault="00DC1C1F" w:rsidP="00167666">
            <w:pPr>
              <w:widowControl w:val="0"/>
              <w:tabs>
                <w:tab w:val="left" w:pos="1944"/>
              </w:tabs>
              <w:kinsoku w:val="0"/>
              <w:overflowPunct w:val="0"/>
              <w:spacing w:after="4" w:line="182" w:lineRule="exact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shd w:val="clear" w:color="auto" w:fill="B2B4BA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2B4BA"/>
                <w:lang w:val="en-US"/>
              </w:rPr>
              <w:t>STANDARD RE</w:t>
            </w:r>
            <w:r w:rsidR="001734B9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2B4BA"/>
                <w:lang w:val="en-US"/>
              </w:rPr>
              <w:t>FERI</w:t>
            </w:r>
            <w:r w:rsidRPr="008772D2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2B4BA"/>
                <w:lang w:val="en-US"/>
              </w:rPr>
              <w:tab/>
              <w:t>TOR LA STR</w:t>
            </w:r>
            <w:r w:rsidR="001734B9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2B4BA"/>
                <w:lang w:val="en-US"/>
              </w:rPr>
              <w:t>UCT</w:t>
            </w:r>
            <w:r w:rsidRPr="008772D2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0"/>
                <w:szCs w:val="20"/>
                <w:shd w:val="clear" w:color="auto" w:fill="B2B4BA"/>
                <w:lang w:val="en-US"/>
              </w:rPr>
              <w:t>URA DE I'ERSON</w:t>
            </w:r>
            <w:r w:rsidRPr="008772D2"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shd w:val="clear" w:color="auto" w:fill="B2B4BA"/>
                <w:lang w:val="en-US"/>
              </w:rPr>
              <w:t>AL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3C9D738C" w14:textId="77777777" w:rsidR="00DC1C1F" w:rsidRPr="008772D2" w:rsidRDefault="00DC1C1F" w:rsidP="00DC1C1F">
            <w:pPr>
              <w:widowControl w:val="0"/>
              <w:tabs>
                <w:tab w:val="left" w:pos="1944"/>
              </w:tabs>
              <w:kinsoku w:val="0"/>
              <w:overflowPunct w:val="0"/>
              <w:spacing w:after="4" w:line="182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shd w:val="clear" w:color="auto" w:fill="B2B4BA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7F66A7E8" w14:textId="77777777" w:rsidR="00DC1C1F" w:rsidRPr="008772D2" w:rsidRDefault="00DC1C1F" w:rsidP="00167666">
            <w:pPr>
              <w:widowControl w:val="0"/>
              <w:tabs>
                <w:tab w:val="left" w:pos="1944"/>
              </w:tabs>
              <w:kinsoku w:val="0"/>
              <w:overflowPunct w:val="0"/>
              <w:spacing w:after="4" w:line="182" w:lineRule="exact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shd w:val="clear" w:color="auto" w:fill="B2B4BA"/>
                <w:lang w:val="en-US"/>
              </w:rPr>
            </w:pPr>
          </w:p>
        </w:tc>
      </w:tr>
      <w:tr w:rsidR="00DC1C1F" w:rsidRPr="008772D2" w14:paraId="682FDD45" w14:textId="77777777" w:rsidTr="00DC1C1F">
        <w:trPr>
          <w:trHeight w:hRule="exact" w:val="979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EBA5FAB" w14:textId="19636BB4" w:rsidR="00DC1C1F" w:rsidRPr="008772D2" w:rsidRDefault="00DC1C1F" w:rsidP="00DC1C1F">
            <w:pPr>
              <w:widowControl w:val="0"/>
              <w:kinsoku w:val="0"/>
              <w:overflowPunct w:val="0"/>
              <w:spacing w:after="761" w:line="21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I</w:t>
            </w:r>
            <w:r w:rsidR="001734B9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I</w:t>
            </w: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 xml:space="preserve"> 1*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EF50F04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42" w:lineRule="exact"/>
              <w:ind w:right="-11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farmaciştii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lucrează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cadrul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furnizorului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certificat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membru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Colegiului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din Romania/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Colegiului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Farmaciştilor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din Romania, cu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excepţia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străini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care au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aviz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practică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temporară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ocazională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, conform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reglementărilor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A4DFBE0" w14:textId="77777777" w:rsidR="00DC1C1F" w:rsidRPr="008772D2" w:rsidRDefault="00DC1C1F" w:rsidP="00DC1C1F">
            <w:pPr>
              <w:widowControl w:val="0"/>
              <w:kinsoku w:val="0"/>
              <w:overflowPunct w:val="0"/>
              <w:spacing w:before="390" w:after="361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CC477AD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768D8026" w14:textId="77777777" w:rsidTr="00DC1C1F">
        <w:trPr>
          <w:trHeight w:hRule="exact" w:val="734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F488D77" w14:textId="6B7E327E" w:rsidR="00DC1C1F" w:rsidRPr="008772D2" w:rsidRDefault="001734B9" w:rsidP="00DC1C1F">
            <w:pPr>
              <w:widowControl w:val="0"/>
              <w:kinsoku w:val="0"/>
              <w:overflowPunct w:val="0"/>
              <w:spacing w:after="484" w:line="22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.2*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D67C932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36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Biologii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chimiştii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biochimişti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lucrează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cadrul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furnizorului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certificat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membru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Ordinului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Biochimiştilor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Biologilor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Chimiştilor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Sistemul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Sanitar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din Romania.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19E817E" w14:textId="5D8AFE08" w:rsidR="00DC1C1F" w:rsidRPr="008772D2" w:rsidRDefault="00DC1C1F" w:rsidP="00DC1C1F">
            <w:pPr>
              <w:widowControl w:val="0"/>
              <w:kinsoku w:val="0"/>
              <w:overflowPunct w:val="0"/>
              <w:spacing w:before="267" w:after="225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8DAA233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15AA924B" w14:textId="77777777" w:rsidTr="00DC1C1F">
        <w:trPr>
          <w:trHeight w:hRule="exact" w:val="490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D7A3B4D" w14:textId="354695CC" w:rsidR="00DC1C1F" w:rsidRPr="008772D2" w:rsidRDefault="001734B9" w:rsidP="00DC1C1F">
            <w:pPr>
              <w:widowControl w:val="0"/>
              <w:kinsoku w:val="0"/>
              <w:overflowPunct w:val="0"/>
              <w:spacing w:before="143" w:after="119" w:line="22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.3*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541B870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exact"/>
              <w:ind w:right="288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Asistenţii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medicali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lucrează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cadrul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furnizorului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certificat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membru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al OAMGMAMR, conform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reglementărilor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54D74C3" w14:textId="77777777" w:rsidR="00DC1C1F" w:rsidRPr="008772D2" w:rsidRDefault="00DC1C1F" w:rsidP="00DC1C1F">
            <w:pPr>
              <w:widowControl w:val="0"/>
              <w:kinsoku w:val="0"/>
              <w:overflowPunct w:val="0"/>
              <w:spacing w:before="153" w:after="109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78508AD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00E3E068" w14:textId="77777777" w:rsidTr="00DC1C1F">
        <w:trPr>
          <w:trHeight w:hRule="exact" w:val="278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BBAF8A0" w14:textId="05E481BC" w:rsidR="00DC1C1F" w:rsidRPr="008772D2" w:rsidRDefault="001734B9" w:rsidP="00DC1C1F">
            <w:pPr>
              <w:widowControl w:val="0"/>
              <w:kinsoku w:val="0"/>
              <w:overflowPunct w:val="0"/>
              <w:spacing w:after="42" w:line="22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.4*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EE0E080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27" w:line="228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intreg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personalul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îi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desfăşoară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activitatea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intr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-o forma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legală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la furnizor.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4116830" w14:textId="77777777" w:rsidR="00DC1C1F" w:rsidRPr="008772D2" w:rsidRDefault="00DC1C1F" w:rsidP="00DC1C1F">
            <w:pPr>
              <w:widowControl w:val="0"/>
              <w:kinsoku w:val="0"/>
              <w:overflowPunct w:val="0"/>
              <w:spacing w:before="35" w:after="10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AD6E389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2B0684F8" w14:textId="77777777" w:rsidTr="00DC1C1F">
        <w:trPr>
          <w:trHeight w:hRule="exact" w:val="490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1249CE5" w14:textId="1C0EEFAC" w:rsidR="00DC1C1F" w:rsidRPr="008772D2" w:rsidRDefault="001734B9" w:rsidP="00DC1C1F">
            <w:pPr>
              <w:widowControl w:val="0"/>
              <w:kinsoku w:val="0"/>
              <w:overflowPunct w:val="0"/>
              <w:spacing w:after="253" w:line="22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.5*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4A3CFFD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2" w:lineRule="exact"/>
              <w:ind w:right="648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farmaciştii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biologii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chimiştii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biochimiştii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lucrează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cadrul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furnizorului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asigurare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răspundere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civilă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malpraxis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) in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B6EF734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45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B0E34A6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6A8DB8B1" w14:textId="77777777" w:rsidTr="00DC1C1F">
        <w:trPr>
          <w:trHeight w:hRule="exact" w:val="504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427EE91" w14:textId="4FABDC42" w:rsidR="00DC1C1F" w:rsidRPr="008772D2" w:rsidRDefault="001734B9" w:rsidP="00DC1C1F">
            <w:pPr>
              <w:widowControl w:val="0"/>
              <w:kinsoku w:val="0"/>
              <w:overflowPunct w:val="0"/>
              <w:spacing w:after="258" w:line="22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.6*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AF80DA9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39" w:lineRule="exact"/>
              <w:ind w:right="1044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Asistenţii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medicali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lucrează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cadrul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furnizorului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asigurare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răspundere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civilă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malpraxis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) in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930F632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49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661A1ED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300A74F3" w14:textId="77777777" w:rsidTr="00DC1C1F">
        <w:trPr>
          <w:trHeight w:hRule="exact" w:val="494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F355F6" w14:textId="5D3AD170" w:rsidR="00DC1C1F" w:rsidRPr="008772D2" w:rsidRDefault="001734B9" w:rsidP="00DC1C1F">
            <w:pPr>
              <w:widowControl w:val="0"/>
              <w:kinsoku w:val="0"/>
              <w:overflowPunct w:val="0"/>
              <w:spacing w:after="253" w:line="22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.7*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7359B47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36" w:lineRule="exact"/>
              <w:ind w:right="684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intreg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personalul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fişe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post cu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atribuţiile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specifice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semnate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fiecare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ansajat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şi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reprezentantul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legal.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E92D5A0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46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21A2501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22E3DE0C" w14:textId="77777777" w:rsidTr="00DC1C1F">
        <w:trPr>
          <w:trHeight w:hRule="exact" w:val="279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1C356319" w14:textId="0DC86B1B" w:rsidR="00DC1C1F" w:rsidRPr="001734B9" w:rsidRDefault="001734B9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lang w:eastAsia="ro-RO"/>
              </w:rPr>
            </w:pPr>
            <w:r w:rsidRPr="001734B9">
              <w:rPr>
                <w:rFonts w:ascii="Times New Roman" w:eastAsiaTheme="minorEastAsia" w:hAnsi="Times New Roman" w:cs="Times New Roman"/>
                <w:kern w:val="0"/>
                <w:lang w:eastAsia="ro-RO"/>
              </w:rPr>
              <w:t>III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808080" w:fill="auto"/>
          </w:tcPr>
          <w:p w14:paraId="5195BBC1" w14:textId="0A43D211" w:rsidR="00DC1C1F" w:rsidRPr="001734B9" w:rsidRDefault="001734B9" w:rsidP="001734B9">
            <w:pPr>
              <w:widowControl w:val="0"/>
              <w:tabs>
                <w:tab w:val="left" w:pos="4536"/>
              </w:tabs>
              <w:kinsoku w:val="0"/>
              <w:overflowPunct w:val="0"/>
              <w:spacing w:after="0" w:line="276" w:lineRule="auto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hd w:val="clear" w:color="auto" w:fill="7B7C81"/>
                <w:lang w:val="en-US"/>
              </w:rPr>
            </w:pPr>
            <w:r w:rsidRPr="001734B9">
              <w:rPr>
                <w:rFonts w:ascii="Times New Roman" w:eastAsiaTheme="minorEastAsia" w:hAnsi="Times New Roman" w:cs="Times New Roman"/>
                <w:color w:val="000000"/>
                <w:kern w:val="0"/>
                <w:shd w:val="clear" w:color="auto" w:fill="7B7C81"/>
                <w:lang w:val="en-US"/>
              </w:rPr>
              <w:t>STANDARD REFERITOR LA INFORMAREA ASIGURATILOR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7850B699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4B7A0378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21BF2DBB" w14:textId="77777777" w:rsidTr="00DC1C1F">
        <w:trPr>
          <w:trHeight w:hRule="exact" w:val="273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ACA48D4" w14:textId="72D7843A" w:rsidR="00DC1C1F" w:rsidRPr="008772D2" w:rsidRDefault="001734B9" w:rsidP="00DC1C1F">
            <w:pPr>
              <w:widowControl w:val="0"/>
              <w:kinsoku w:val="0"/>
              <w:overflowPunct w:val="0"/>
              <w:spacing w:before="32" w:after="0" w:line="227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.1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D58B804" w14:textId="77777777" w:rsidR="00DC1C1F" w:rsidRPr="008772D2" w:rsidRDefault="00DC1C1F" w:rsidP="00167666">
            <w:pPr>
              <w:widowControl w:val="0"/>
              <w:kinsoku w:val="0"/>
              <w:overflowPunct w:val="0"/>
              <w:spacing w:before="31" w:after="0" w:line="228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Furnizorul are o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firmă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vizibilă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din exterior.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F986AD7" w14:textId="77777777" w:rsidR="00DC1C1F" w:rsidRPr="008772D2" w:rsidRDefault="00DC1C1F" w:rsidP="00DC1C1F">
            <w:pPr>
              <w:widowControl w:val="0"/>
              <w:kinsoku w:val="0"/>
              <w:overflowPunct w:val="0"/>
              <w:spacing w:before="38" w:after="0" w:line="221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547777A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59F1E02F" w14:textId="77777777" w:rsidTr="00DC1C1F">
        <w:trPr>
          <w:trHeight w:hRule="exact" w:val="264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E4A316E" w14:textId="3EF0C470" w:rsidR="00DC1C1F" w:rsidRPr="008772D2" w:rsidRDefault="001734B9" w:rsidP="00DC1C1F">
            <w:pPr>
              <w:widowControl w:val="0"/>
              <w:kinsoku w:val="0"/>
              <w:overflowPunct w:val="0"/>
              <w:spacing w:after="3" w:line="22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.2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F572247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6" w:line="248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incinta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furnizorului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nu este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permis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accesul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animalelor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CCAC50E" w14:textId="1B6D649D" w:rsidR="00DC1C1F" w:rsidRPr="008772D2" w:rsidRDefault="00DC1C1F" w:rsidP="00DC1C1F">
            <w:pPr>
              <w:widowControl w:val="0"/>
              <w:kinsoku w:val="0"/>
              <w:overflowPunct w:val="0"/>
              <w:spacing w:after="17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F65398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1AE07373" w14:textId="77777777" w:rsidTr="00DC1C1F">
        <w:trPr>
          <w:trHeight w:hRule="exact" w:val="495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F324F7B" w14:textId="2304198A" w:rsidR="00DC1C1F" w:rsidRPr="008772D2" w:rsidRDefault="001734B9" w:rsidP="00DC1C1F">
            <w:pPr>
              <w:widowControl w:val="0"/>
              <w:kinsoku w:val="0"/>
              <w:overflowPunct w:val="0"/>
              <w:spacing w:before="139" w:after="0" w:line="116" w:lineRule="exact"/>
              <w:ind w:right="468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3</w:t>
            </w:r>
          </w:p>
          <w:p w14:paraId="381FE472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114" w:line="116" w:lineRule="exact"/>
              <w:ind w:right="468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A8BBD2F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35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Furnizorul are un program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lucru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stabilit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conform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reglementărilor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legale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vigoare,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vizibil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din exterior.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DE590C3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39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AEF56C5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37E3C9AF" w14:textId="77777777" w:rsidTr="00DC1C1F">
        <w:trPr>
          <w:trHeight w:hRule="exact" w:val="734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FB9B8E0" w14:textId="628E0F1C" w:rsidR="00DC1C1F" w:rsidRPr="008772D2" w:rsidRDefault="001734B9" w:rsidP="00DC1C1F">
            <w:pPr>
              <w:widowControl w:val="0"/>
              <w:kinsoku w:val="0"/>
              <w:overflowPunct w:val="0"/>
              <w:spacing w:before="262" w:after="234" w:line="22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.4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2F648C3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38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În cadrul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furnizorului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află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expus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la loc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vizibil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numele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casei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caselor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asigurări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sănătate cu care se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află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contract, precum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datele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contact ale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acesteia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/ acestora,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după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caz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D521D15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483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23289F9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783D1B54" w14:textId="77777777" w:rsidTr="00DC1C1F">
        <w:trPr>
          <w:trHeight w:hRule="exact" w:val="264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8BD0934" w14:textId="2DC15FDB" w:rsidR="00DC1C1F" w:rsidRPr="008772D2" w:rsidRDefault="001734B9" w:rsidP="00DC1C1F">
            <w:pPr>
              <w:widowControl w:val="0"/>
              <w:kinsoku w:val="0"/>
              <w:overflowPunct w:val="0"/>
              <w:spacing w:after="0" w:line="224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.5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716E66F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25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Drepturile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obligaţiile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asiguraţilor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sunt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afişate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la loc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vizibil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493024B" w14:textId="4400F6B2" w:rsidR="00DC1C1F" w:rsidRPr="008772D2" w:rsidRDefault="00DC1C1F" w:rsidP="00DC1C1F">
            <w:pPr>
              <w:widowControl w:val="0"/>
              <w:kinsoku w:val="0"/>
              <w:overflowPunct w:val="0"/>
              <w:spacing w:after="7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6CBEC83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56382F6F" w14:textId="77777777" w:rsidTr="00DC1C1F">
        <w:trPr>
          <w:trHeight w:hRule="exact" w:val="499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7BE2B51" w14:textId="6B70BE49" w:rsidR="00DC1C1F" w:rsidRPr="008772D2" w:rsidRDefault="001734B9" w:rsidP="001734B9">
            <w:pPr>
              <w:widowControl w:val="0"/>
              <w:kinsoku w:val="0"/>
              <w:overflowPunct w:val="0"/>
              <w:spacing w:before="143" w:after="0" w:line="114" w:lineRule="exact"/>
              <w:ind w:right="468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III.6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590A496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37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Asiguraţii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acces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neingrădit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la un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registru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reclamaţii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sesizări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paginile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numerotate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906C006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41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3015C21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11C20ED4" w14:textId="77777777" w:rsidTr="00DC1C1F">
        <w:trPr>
          <w:trHeight w:hRule="exact" w:val="476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480A02C" w14:textId="66499495" w:rsidR="00DC1C1F" w:rsidRPr="008772D2" w:rsidRDefault="001734B9" w:rsidP="00DC1C1F">
            <w:pPr>
              <w:widowControl w:val="0"/>
              <w:kinsoku w:val="0"/>
              <w:overflowPunct w:val="0"/>
              <w:spacing w:before="133" w:after="105" w:line="22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.7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8D9293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33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Fumizorul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afişat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la loc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vizibil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numărul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telefon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serviciului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urgenţă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(1 1 2).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33CDC07" w14:textId="77777777" w:rsidR="00DC1C1F" w:rsidRPr="008772D2" w:rsidRDefault="00DC1C1F" w:rsidP="00DC1C1F">
            <w:pPr>
              <w:widowControl w:val="0"/>
              <w:kinsoku w:val="0"/>
              <w:overflowPunct w:val="0"/>
              <w:spacing w:before="129" w:after="109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0D1F574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5BE50B14" w14:textId="77777777" w:rsidTr="00DC1C1F">
        <w:trPr>
          <w:trHeight w:hRule="exact" w:val="734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CBF8A85" w14:textId="1B0A4306" w:rsidR="00DC1C1F" w:rsidRPr="008772D2" w:rsidRDefault="001734B9" w:rsidP="00DC1C1F">
            <w:pPr>
              <w:widowControl w:val="0"/>
              <w:kinsoku w:val="0"/>
              <w:overflowPunct w:val="0"/>
              <w:spacing w:before="274" w:after="222" w:line="22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.8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B31FBCD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4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Personalul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care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lucrează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cadrul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furnizorului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poartă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permanenţă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ţinuta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medicaid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şi un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ecuson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pe care se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află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inscripţionat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numele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calificarea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angajatului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respectiv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795C3CA" w14:textId="77777777" w:rsidR="00DC1C1F" w:rsidRPr="008772D2" w:rsidRDefault="00DC1C1F" w:rsidP="00DC1C1F">
            <w:pPr>
              <w:widowControl w:val="0"/>
              <w:kinsoku w:val="0"/>
              <w:overflowPunct w:val="0"/>
              <w:spacing w:before="263" w:after="233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784C778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54E6036E" w14:textId="77777777" w:rsidTr="00DC1C1F">
        <w:trPr>
          <w:trHeight w:hRule="exact" w:val="494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CE6D8DA" w14:textId="77777777" w:rsidR="00DC1C1F" w:rsidRPr="008772D2" w:rsidRDefault="00DC1C1F" w:rsidP="00DC1C1F">
            <w:pPr>
              <w:widowControl w:val="0"/>
              <w:kinsoku w:val="0"/>
              <w:overflowPunct w:val="0"/>
              <w:spacing w:before="147" w:after="105" w:line="22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lastRenderedPageBreak/>
              <w:t>III.  9*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F1A1430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36" w:lineRule="exact"/>
              <w:ind w:right="-11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Sunt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afişate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tarifele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pentru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serviciile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medicale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care nu fac parte din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pachetul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bază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şi nu sunt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decontate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casa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asigurări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sănătate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6854BFA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44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2C0AE28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0224DE9E" w14:textId="77777777" w:rsidTr="00DC1C1F">
        <w:trPr>
          <w:trHeight w:hRule="exact" w:val="274"/>
        </w:trPr>
        <w:tc>
          <w:tcPr>
            <w:tcW w:w="1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71E7711" w14:textId="6D93FA0A" w:rsidR="00DC1C1F" w:rsidRPr="008772D2" w:rsidRDefault="00DC1C1F" w:rsidP="00DC1C1F">
            <w:pPr>
              <w:widowControl w:val="0"/>
              <w:kinsoku w:val="0"/>
              <w:overflowPunct w:val="0"/>
              <w:spacing w:after="18" w:line="228" w:lineRule="exact"/>
              <w:ind w:right="475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III. 10</w:t>
            </w:r>
          </w:p>
        </w:tc>
        <w:tc>
          <w:tcPr>
            <w:tcW w:w="6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6CA946E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24" w:line="228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Este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afişat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numărul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telefon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la care se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poate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face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programarea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ACFDDB" w14:textId="649675DD" w:rsidR="00DC1C1F" w:rsidRPr="008772D2" w:rsidRDefault="00DC1C1F" w:rsidP="00DC1C1F">
            <w:pPr>
              <w:widowControl w:val="0"/>
              <w:kinsoku w:val="0"/>
              <w:overflowPunct w:val="0"/>
              <w:spacing w:after="46" w:line="22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B936F63" w14:textId="77777777" w:rsidR="00DC1C1F" w:rsidRPr="008772D2" w:rsidRDefault="00DC1C1F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eastAsiaTheme="minorEastAsia" w:hAnsi="Arial" w:cs="Arial"/>
                <w:kern w:val="0"/>
                <w:sz w:val="24"/>
                <w:szCs w:val="24"/>
                <w:lang w:eastAsia="ro-RO"/>
              </w:rPr>
            </w:pPr>
          </w:p>
        </w:tc>
      </w:tr>
    </w:tbl>
    <w:tbl>
      <w:tblPr>
        <w:tblpPr w:leftFromText="180" w:rightFromText="180" w:vertAnchor="text" w:horzAnchor="margin" w:tblpX="-432" w:tblpY="62"/>
        <w:tblW w:w="10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6576"/>
        <w:gridCol w:w="1276"/>
        <w:gridCol w:w="1268"/>
      </w:tblGrid>
      <w:tr w:rsidR="00DC1C1F" w:rsidRPr="008772D2" w14:paraId="13069A3E" w14:textId="77777777" w:rsidTr="00DC1C1F">
        <w:trPr>
          <w:trHeight w:hRule="exact" w:val="514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978B114" w14:textId="7ABC7B48" w:rsidR="00DC1C1F" w:rsidRPr="008772D2" w:rsidRDefault="001734B9" w:rsidP="00DC1C1F">
            <w:pPr>
              <w:widowControl w:val="0"/>
              <w:kinsoku w:val="0"/>
              <w:overflowPunct w:val="0"/>
              <w:spacing w:before="161" w:after="113" w:line="23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III.11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*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62E291A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43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Este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afişat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pachetul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bază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servicii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paraclinice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-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analize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laborator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tarifele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decontate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casa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asigurări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sănătate.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3EBA64F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62" w:line="239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257F2B3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50AE1EF8" w14:textId="77777777" w:rsidTr="00DC1C1F">
        <w:trPr>
          <w:trHeight w:hRule="exact" w:val="494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F57EE7F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39" w:line="23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III.I 3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B658442" w14:textId="32F007DF" w:rsidR="00DC1C1F" w:rsidRPr="008772D2" w:rsidRDefault="00DC1C1F" w:rsidP="00DC1C1F">
            <w:pPr>
              <w:widowControl w:val="0"/>
              <w:kinsoku w:val="0"/>
              <w:overflowPunct w:val="0"/>
              <w:spacing w:after="0" w:line="242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fiecare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1734B9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ncăpere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există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un plan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evacuare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</w:t>
            </w:r>
            <w:proofErr w:type="gram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caz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incendiu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indicarea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poziţiei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privitorului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08FB736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55" w:line="234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474675D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2696A52C" w14:textId="77777777" w:rsidTr="00DC1C1F">
        <w:trPr>
          <w:trHeight w:hRule="exact" w:val="283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42E6F52C" w14:textId="158D7523" w:rsidR="00DC1C1F" w:rsidRPr="001734B9" w:rsidRDefault="001734B9" w:rsidP="00DC1C1F">
            <w:pPr>
              <w:widowControl w:val="0"/>
              <w:kinsoku w:val="0"/>
              <w:overflowPunct w:val="0"/>
              <w:spacing w:after="0" w:line="262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hd w:val="clear" w:color="auto" w:fill="B5B6B9"/>
                <w:lang w:val="en-US"/>
              </w:rPr>
            </w:pPr>
            <w:r w:rsidRPr="001734B9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hd w:val="clear" w:color="auto" w:fill="B5B6B9"/>
                <w:lang w:val="en-US"/>
              </w:rPr>
              <w:t>IV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31587419" w14:textId="2EBF9332" w:rsidR="00DC1C1F" w:rsidRPr="001734B9" w:rsidRDefault="001734B9" w:rsidP="001734B9">
            <w:pPr>
              <w:widowControl w:val="0"/>
              <w:kinsoku w:val="0"/>
              <w:overflowPunct w:val="0"/>
              <w:spacing w:before="36" w:after="0" w:line="233" w:lineRule="exact"/>
              <w:ind w:right="421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hd w:val="clear" w:color="auto" w:fill="B5B6B9"/>
                <w:lang w:val="en-US"/>
              </w:rPr>
            </w:pPr>
            <w:r w:rsidRPr="001734B9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hd w:val="clear" w:color="auto" w:fill="B5B6B9"/>
                <w:lang w:val="en-US"/>
              </w:rPr>
              <w:t>STAN</w:t>
            </w:r>
            <w:r w:rsidR="00DC1C1F" w:rsidRPr="001734B9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hd w:val="clear" w:color="auto" w:fill="B5B6B9"/>
                <w:lang w:val="en-US"/>
              </w:rPr>
              <w:t>DARD REFERITOR LA DOTARE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296AB821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7E2683AE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34B6FCED" w14:textId="77777777" w:rsidTr="001734B9">
        <w:trPr>
          <w:trHeight w:hRule="exact" w:val="412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C4B3F4E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28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IV.I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DC8879F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2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Sala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aste_ptare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furnizorului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este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dotată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conform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normelor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legate in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107DB5E" w14:textId="77777777" w:rsidR="00DC1C1F" w:rsidRPr="00DC1C1F" w:rsidRDefault="00DC1C1F" w:rsidP="00DC1C1F">
            <w:pPr>
              <w:widowControl w:val="0"/>
              <w:kinsoku w:val="0"/>
              <w:overflowPunct w:val="0"/>
              <w:spacing w:after="0" w:line="242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 / NU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57781AF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10080484" w14:textId="77777777" w:rsidTr="00DC1C1F">
        <w:trPr>
          <w:trHeight w:hRule="exact" w:val="269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B11EE94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35" w:lineRule="exact"/>
              <w:textAlignment w:val="baseline"/>
              <w:rPr>
                <w:rFonts w:ascii="Courier New" w:eastAsiaTheme="minorEastAsia" w:hAnsi="Courier New" w:cs="Courier New"/>
                <w:kern w:val="0"/>
                <w:sz w:val="20"/>
                <w:szCs w:val="20"/>
                <w:lang w:val="en-US"/>
              </w:rPr>
            </w:pPr>
            <w:r w:rsidRPr="008772D2">
              <w:rPr>
                <w:rFonts w:ascii="Courier New" w:eastAsiaTheme="minorEastAsia" w:hAnsi="Courier New" w:cs="Courier New"/>
                <w:kern w:val="0"/>
                <w:sz w:val="20"/>
                <w:szCs w:val="20"/>
                <w:lang w:val="en-US"/>
              </w:rPr>
              <w:t>IV.2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9FAA5D8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Fumizorul asigură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accesul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persoanelor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cu handicap locomotor.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FB90F89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8" w:line="239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995B9DC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394F9457" w14:textId="77777777" w:rsidTr="00DC1C1F">
        <w:trPr>
          <w:trHeight w:hRule="exact" w:val="490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EA1FC65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43" w:line="237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IV.3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75C6A42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37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deţine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spaţiile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accesul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circuitele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necesare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pentru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asiguraţi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personal, conform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reglementărilor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F654F53" w14:textId="5F8723A0" w:rsidR="00DC1C1F" w:rsidRPr="008772D2" w:rsidRDefault="00DC1C1F" w:rsidP="00DC1C1F">
            <w:pPr>
              <w:widowControl w:val="0"/>
              <w:kinsoku w:val="0"/>
              <w:overflowPunct w:val="0"/>
              <w:spacing w:before="123" w:after="118" w:line="239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NU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CA10BD4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5F1F9B80" w14:textId="77777777" w:rsidTr="00DC1C1F">
        <w:trPr>
          <w:trHeight w:hRule="exact" w:val="744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CFA9CA8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488" w:line="23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IV.4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558A4B5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44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Medicamentele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materialele sanitare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utilizate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cadrul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activităţii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sunt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Inregistrate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conform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actelor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normative in vigoare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depozitate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conform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recomandărilor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producătorului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4B39F20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500" w:line="239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EC73B4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40C58309" w14:textId="77777777" w:rsidTr="00DC1C1F">
        <w:trPr>
          <w:trHeight w:hRule="exact" w:val="499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A9D78E8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33" w:line="23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IV.5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6343C56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34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Aparatul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urgenţă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este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dotat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conform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reglementărilor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legale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vigoare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conţine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medicamente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materiale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sanitare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aflate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</w:t>
            </w:r>
            <w:proofErr w:type="gram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termenul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valabilitate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CFBAA32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48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DBD4323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28B9C0E7" w14:textId="77777777" w:rsidTr="00DC1C1F">
        <w:trPr>
          <w:trHeight w:hRule="exact" w:val="979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440CAA1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719" w:line="23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IV.6*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4AA84F0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39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face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dovada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deţinerii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legale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</w:t>
            </w:r>
            <w:proofErr w:type="gram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aparaturii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dotare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din care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rezultă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data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fabricaţiei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data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achiziţiei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avizul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utilizare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după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caz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emis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conform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prevederilor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legale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vigoare pentru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aparatele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achiziţionate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second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softHyphen/>
              <w:t>hand.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CBACE2B" w14:textId="562B857B" w:rsidR="00DC1C1F" w:rsidRPr="008772D2" w:rsidRDefault="00DC1C1F" w:rsidP="00DC1C1F">
            <w:pPr>
              <w:widowControl w:val="0"/>
              <w:kinsoku w:val="0"/>
              <w:overflowPunct w:val="0"/>
              <w:spacing w:after="733" w:line="232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NU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5841F83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07A97C8A" w14:textId="77777777" w:rsidTr="00DC1C1F">
        <w:trPr>
          <w:trHeight w:hRule="exact" w:val="490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92A2F5D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49" w:line="23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IV.7*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267EDA2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44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contract de service pentru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aparatura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dotare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Incheiat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cu un furnizor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avizat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potrivit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prevederilor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legale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</w:t>
            </w:r>
            <w:proofErr w:type="gram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8143A97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53" w:line="237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B188B6C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37A2A314" w14:textId="77777777" w:rsidTr="00DC1C1F">
        <w:trPr>
          <w:trHeight w:hRule="exact" w:val="499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C1B667E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43" w:line="23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IV.8*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237B7A2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39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contract pentru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colectarea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distrugerea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(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neutralizarea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)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deşeurilor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cu risc biologic.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E8C7CBE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52" w:line="237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E9A7C62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07C1B2F6" w14:textId="77777777" w:rsidTr="00DC1C1F">
        <w:trPr>
          <w:trHeight w:hRule="exact" w:val="490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5570A42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44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IV.9*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7317792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35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deţine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un post/terminal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telefonic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(fix,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mobil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) functional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sistem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informatic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cărui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utilizare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este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conformă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cerintelor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CNAS.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FC4DD9A" w14:textId="218CD8B2" w:rsidR="00DC1C1F" w:rsidRPr="00DC1C1F" w:rsidRDefault="00DC1C1F" w:rsidP="00DC1C1F">
            <w:pPr>
              <w:widowControl w:val="0"/>
              <w:kinsoku w:val="0"/>
              <w:overflowPunct w:val="0"/>
              <w:spacing w:after="241" w:line="239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E763450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06A1ECC8" w14:textId="77777777" w:rsidTr="00DC1C1F">
        <w:trPr>
          <w:trHeight w:hRule="exact" w:val="288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808080" w:fill="auto"/>
          </w:tcPr>
          <w:p w14:paraId="2CFB4F4D" w14:textId="3B4F1357" w:rsidR="00DC1C1F" w:rsidRPr="001734B9" w:rsidRDefault="001734B9" w:rsidP="001734B9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lang w:eastAsia="ro-RO"/>
              </w:rPr>
            </w:pPr>
            <w:r w:rsidRPr="001734B9">
              <w:rPr>
                <w:rFonts w:ascii="Times New Roman" w:eastAsiaTheme="minorEastAsia" w:hAnsi="Times New Roman" w:cs="Times New Roman"/>
                <w:b/>
                <w:bCs/>
                <w:kern w:val="0"/>
                <w:lang w:eastAsia="ro-RO"/>
              </w:rPr>
              <w:t>V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808080" w:fill="auto"/>
            <w:vAlign w:val="center"/>
          </w:tcPr>
          <w:p w14:paraId="401DFED6" w14:textId="4ADAE218" w:rsidR="00DC1C1F" w:rsidRPr="001734B9" w:rsidRDefault="001734B9" w:rsidP="00DC1C1F">
            <w:pPr>
              <w:widowControl w:val="0"/>
              <w:tabs>
                <w:tab w:val="left" w:pos="2520"/>
                <w:tab w:val="left" w:pos="3384"/>
              </w:tabs>
              <w:kinsoku w:val="0"/>
              <w:overflowPunct w:val="0"/>
              <w:spacing w:before="32" w:after="7" w:line="239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hd w:val="clear" w:color="auto" w:fill="87888A"/>
                <w:lang w:val="en-US"/>
              </w:rPr>
            </w:pPr>
            <w:r w:rsidRPr="001734B9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hd w:val="clear" w:color="auto" w:fill="87888A"/>
                <w:lang w:val="en-US"/>
              </w:rPr>
              <w:t>STANDARD REFERITOR LA ASIGURAREA SERVICIILOR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808080" w:fill="auto"/>
          </w:tcPr>
          <w:p w14:paraId="59C6249E" w14:textId="77777777" w:rsidR="00DC1C1F" w:rsidRPr="00DC1C1F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808080" w:fill="auto"/>
          </w:tcPr>
          <w:p w14:paraId="2177A92D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4E675DEE" w14:textId="77777777" w:rsidTr="00DC1C1F">
        <w:trPr>
          <w:trHeight w:hRule="exact" w:val="499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D05686F" w14:textId="281F1404" w:rsidR="00DC1C1F" w:rsidRPr="001734B9" w:rsidRDefault="00DC1C1F" w:rsidP="00DC1C1F">
            <w:pPr>
              <w:widowControl w:val="0"/>
              <w:kinsoku w:val="0"/>
              <w:overflowPunct w:val="0"/>
              <w:spacing w:before="134" w:after="107" w:line="253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1734B9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V.1*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3843182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4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deţine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certificatul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acreditare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RENAR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insoţit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anexa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care cuprinde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lista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analize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pentru care este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acreditat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16C1122" w14:textId="2EE226DE" w:rsidR="00DC1C1F" w:rsidRPr="00DC1C1F" w:rsidRDefault="00DC1C1F" w:rsidP="00DC1C1F">
            <w:pPr>
              <w:widowControl w:val="0"/>
              <w:kinsoku w:val="0"/>
              <w:overflowPunct w:val="0"/>
              <w:spacing w:after="247" w:line="247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9DA1513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6244D8F0" w14:textId="77777777" w:rsidTr="00DC1C1F">
        <w:trPr>
          <w:trHeight w:hRule="exact" w:val="499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E8B601B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43" w:line="23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V.2*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3F2D42E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36" w:lineRule="exact"/>
              <w:ind w:right="13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deţine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actele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doveditoare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pentru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participarea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la scheme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testare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competenţei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5C2E9F6" w14:textId="6F2F5467" w:rsidR="00DC1C1F" w:rsidRPr="00DC1C1F" w:rsidRDefault="00DC1C1F" w:rsidP="00DC1C1F">
            <w:pPr>
              <w:widowControl w:val="0"/>
              <w:kinsoku w:val="0"/>
              <w:overflowPunct w:val="0"/>
              <w:spacing w:after="237" w:line="247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19668F1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3DBDB3AE" w14:textId="77777777" w:rsidTr="00DC1C1F">
        <w:trPr>
          <w:trHeight w:hRule="exact" w:val="730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64364E7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484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V.3 *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282B31B" w14:textId="3F8327D8" w:rsidR="00DC1C1F" w:rsidRPr="008772D2" w:rsidRDefault="001734B9" w:rsidP="001734B9">
            <w:pPr>
              <w:widowControl w:val="0"/>
              <w:kinsoku w:val="0"/>
              <w:overflowPunct w:val="0"/>
              <w:spacing w:after="0" w:line="237" w:lineRule="exact"/>
              <w:ind w:right="13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 cad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ru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l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furnizorului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există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evidenţa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serviciilor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oferite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astfel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incat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să fie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identificabil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asiguratul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persoana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care </w:t>
            </w:r>
            <w:proofErr w:type="gram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</w:t>
            </w:r>
            <w:proofErr w:type="gram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oferit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serviciul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diagnosticul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după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caz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precum şi data şi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ora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</w:t>
            </w:r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nd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acesta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 fost </w:t>
            </w:r>
            <w:proofErr w:type="spellStart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furnizat</w:t>
            </w:r>
            <w:proofErr w:type="spellEnd"/>
            <w:r w:rsidR="00DC1C1F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B1DEDB2" w14:textId="15FA8E44" w:rsidR="00DC1C1F" w:rsidRPr="008772D2" w:rsidRDefault="00DC1C1F" w:rsidP="00DC1C1F">
            <w:pPr>
              <w:widowControl w:val="0"/>
              <w:kinsoku w:val="0"/>
              <w:overflowPunct w:val="0"/>
              <w:spacing w:after="488" w:line="232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NU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634AC2A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434745F2" w14:textId="77777777" w:rsidTr="00DC1C1F">
        <w:trPr>
          <w:trHeight w:hRule="exact" w:val="489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1A2EDAF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23" w:line="23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V.4*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2851363" w14:textId="77777777" w:rsidR="00DC1C1F" w:rsidRPr="008772D2" w:rsidRDefault="00DC1C1F" w:rsidP="001734B9">
            <w:pPr>
              <w:widowControl w:val="0"/>
              <w:kinsoku w:val="0"/>
              <w:overflowPunct w:val="0"/>
              <w:spacing w:after="0" w:line="235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deţine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utilizează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dupa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caz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documentele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tipizate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conform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prevederilor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legale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6459B60" w14:textId="0B18F6DB" w:rsidR="00DC1C1F" w:rsidRPr="00DC1C1F" w:rsidRDefault="00DC1C1F" w:rsidP="00DC1C1F">
            <w:pPr>
              <w:widowControl w:val="0"/>
              <w:kinsoku w:val="0"/>
              <w:overflowPunct w:val="0"/>
              <w:spacing w:after="232" w:line="247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766869E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0E3714D4" w14:textId="77777777" w:rsidTr="00DC1C1F">
        <w:trPr>
          <w:trHeight w:hRule="exact" w:val="2655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05339FF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393" w:line="23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V.5*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3E4A063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39" w:lineRule="exact"/>
              <w:ind w:right="72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In ROF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fi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menţionate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mod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expres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următoarele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:</w:t>
            </w:r>
          </w:p>
          <w:p w14:paraId="64E9CB02" w14:textId="77777777" w:rsidR="00DC1C1F" w:rsidRPr="008772D2" w:rsidRDefault="00DC1C1F" w:rsidP="001734B9">
            <w:pPr>
              <w:widowControl w:val="0"/>
              <w:kinsoku w:val="0"/>
              <w:overflowPunct w:val="0"/>
              <w:spacing w:before="1" w:after="0" w:line="239" w:lineRule="exact"/>
              <w:ind w:right="72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definirea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manevrelor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implică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soluţii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continuitate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, a materialelor</w:t>
            </w:r>
          </w:p>
          <w:p w14:paraId="781DEBC8" w14:textId="77777777" w:rsidR="00DC1C1F" w:rsidRPr="008772D2" w:rsidRDefault="00DC1C1F" w:rsidP="00DC1C1F">
            <w:pPr>
              <w:widowControl w:val="0"/>
              <w:kinsoku w:val="0"/>
              <w:overflowPunct w:val="0"/>
              <w:spacing w:before="5" w:after="0" w:line="239" w:lineRule="exact"/>
              <w:ind w:right="72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utilizate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condiţiilor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sterilizare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;</w:t>
            </w:r>
          </w:p>
          <w:p w14:paraId="2EEB529D" w14:textId="602D1DC8" w:rsidR="00DC1C1F" w:rsidRPr="008772D2" w:rsidRDefault="00DC1C1F" w:rsidP="001734B9">
            <w:pPr>
              <w:widowControl w:val="0"/>
              <w:tabs>
                <w:tab w:val="left" w:pos="201"/>
                <w:tab w:val="left" w:pos="1872"/>
                <w:tab w:val="left" w:pos="2736"/>
                <w:tab w:val="left" w:pos="4320"/>
                <w:tab w:val="left" w:pos="4824"/>
                <w:tab w:val="left" w:pos="5184"/>
                <w:tab w:val="left" w:pos="5688"/>
                <w:tab w:val="right" w:pos="6984"/>
              </w:tabs>
              <w:kinsoku w:val="0"/>
              <w:overflowPunct w:val="0"/>
              <w:spacing w:before="7" w:after="0" w:line="232" w:lineRule="exact"/>
              <w:ind w:right="72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-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obligativitatea</w:t>
            </w:r>
            <w:proofErr w:type="spellEnd"/>
            <w:r w:rsidR="001734B9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păstrării</w:t>
            </w:r>
            <w:proofErr w:type="spellEnd"/>
            <w:r w:rsidR="001734B9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confidenţialităţii</w:t>
            </w:r>
            <w:proofErr w:type="spellEnd"/>
            <w:r w:rsidR="001734B9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față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</w:t>
            </w:r>
            <w:r w:rsidR="001734B9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terţi</w:t>
            </w:r>
            <w:proofErr w:type="spellEnd"/>
            <w:r w:rsidR="001734B9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asupra</w:t>
            </w:r>
            <w:proofErr w:type="spellEnd"/>
            <w:r w:rsidR="001734B9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tuturor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br/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informaţiilor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decurse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serviciile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acordate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asiguraţilor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;</w:t>
            </w:r>
          </w:p>
          <w:p w14:paraId="14CD2DB9" w14:textId="4DE4D850" w:rsidR="00DC1C1F" w:rsidRPr="008772D2" w:rsidRDefault="00DC1C1F" w:rsidP="00DC1C1F">
            <w:pPr>
              <w:widowControl w:val="0"/>
              <w:tabs>
                <w:tab w:val="left" w:pos="2736"/>
              </w:tabs>
              <w:kinsoku w:val="0"/>
              <w:overflowPunct w:val="0"/>
              <w:spacing w:after="0" w:line="242" w:lineRule="exact"/>
              <w:ind w:right="72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obligativitatea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acordării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ab/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serviciilor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="001734B9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n mod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nediscriminatoriu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asiguraţilor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;</w:t>
            </w:r>
          </w:p>
          <w:p w14:paraId="1E5FE023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39" w:lineRule="exact"/>
              <w:ind w:right="72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obligativitatea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respectării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dreptului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la libera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alegere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furnizorului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servicii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;</w:t>
            </w:r>
          </w:p>
          <w:p w14:paraId="5F264E98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36" w:lineRule="exact"/>
              <w:ind w:right="72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neutilizarea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materialelor şi </w:t>
            </w:r>
            <w:proofErr w:type="gram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</w:t>
            </w:r>
            <w:proofErr w:type="gram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instrumentelor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căror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condiţie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sterilizare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nu este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sigură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;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BA1F9AE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417" w:line="237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FF46798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67A88AB9" w14:textId="77777777" w:rsidTr="00DC1C1F">
        <w:trPr>
          <w:trHeight w:hRule="exact" w:val="499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226BDFD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229" w:line="23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V.6.</w:t>
            </w: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3537CDC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4" w:lineRule="exact"/>
              <w:ind w:right="540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lista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programare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gram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</w:t>
            </w:r>
            <w:proofErr w:type="gram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asiguraţilor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lista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criteriile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acces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prioritar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serviciile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oferite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4E9D7C4" w14:textId="7D121AB9" w:rsidR="00DC1C1F" w:rsidRPr="00DC1C1F" w:rsidRDefault="00DC1C1F" w:rsidP="00DC1C1F">
            <w:pPr>
              <w:widowControl w:val="0"/>
              <w:kinsoku w:val="0"/>
              <w:overflowPunct w:val="0"/>
              <w:spacing w:after="241" w:line="248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DA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Pr="00DC1C1F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NU</w:t>
            </w: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A075DDB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DC1C1F" w:rsidRPr="008772D2" w14:paraId="5428818E" w14:textId="77777777" w:rsidTr="00DC1C1F">
        <w:trPr>
          <w:trHeight w:hRule="exact" w:val="466"/>
        </w:trPr>
        <w:tc>
          <w:tcPr>
            <w:tcW w:w="14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7DED830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6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B188261" w14:textId="77777777" w:rsidR="00DC1C1F" w:rsidRPr="001734B9" w:rsidRDefault="00DC1C1F" w:rsidP="00DC1C1F">
            <w:pPr>
              <w:widowControl w:val="0"/>
              <w:kinsoku w:val="0"/>
              <w:overflowPunct w:val="0"/>
              <w:spacing w:before="228" w:after="0" w:line="237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</w:pPr>
            <w:r w:rsidRPr="001734B9"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  <w:t>TOTAL CRITERII 41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64E8E05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1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EAB13EF" w14:textId="77777777" w:rsidR="00DC1C1F" w:rsidRPr="008772D2" w:rsidRDefault="00DC1C1F" w:rsidP="00DC1C1F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</w:tbl>
    <w:p w14:paraId="5B7D08F9" w14:textId="0AFAD2FE" w:rsidR="00DC1C1F" w:rsidRPr="008772D2" w:rsidRDefault="00DC1C1F" w:rsidP="00DC1C1F">
      <w:pPr>
        <w:widowControl w:val="0"/>
        <w:tabs>
          <w:tab w:val="left" w:pos="2016"/>
        </w:tabs>
        <w:kinsoku w:val="0"/>
        <w:overflowPunct w:val="0"/>
        <w:spacing w:before="29" w:after="615" w:line="240" w:lineRule="exact"/>
        <w:textAlignment w:val="baseline"/>
        <w:rPr>
          <w:rFonts w:ascii="Times New Roman" w:eastAsiaTheme="minorEastAsia" w:hAnsi="Times New Roman" w:cs="Times New Roman"/>
          <w:kern w:val="0"/>
          <w:sz w:val="21"/>
          <w:szCs w:val="21"/>
          <w:lang w:val="en-US"/>
        </w:rPr>
      </w:pPr>
    </w:p>
    <w:p w14:paraId="035C7F3E" w14:textId="77777777" w:rsidR="00DC1C1F" w:rsidRPr="008772D2" w:rsidRDefault="00DC1C1F" w:rsidP="00DC1C1F">
      <w:pPr>
        <w:widowControl w:val="0"/>
        <w:kinsoku w:val="0"/>
        <w:overflowPunct w:val="0"/>
        <w:spacing w:after="53" w:line="20" w:lineRule="exact"/>
        <w:ind w:right="23"/>
        <w:textAlignment w:val="baseline"/>
        <w:rPr>
          <w:rFonts w:ascii="Times New Roman" w:eastAsiaTheme="minorEastAsia" w:hAnsi="Times New Roman" w:cs="Times New Roman"/>
          <w:kern w:val="0"/>
          <w:sz w:val="24"/>
          <w:szCs w:val="24"/>
          <w:lang w:eastAsia="ro-RO"/>
        </w:rPr>
      </w:pPr>
    </w:p>
    <w:p w14:paraId="0E8A27BF" w14:textId="77777777" w:rsidR="00DC1C1F" w:rsidRPr="008772D2" w:rsidRDefault="00DC1C1F" w:rsidP="00DC1C1F">
      <w:pPr>
        <w:widowControl w:val="0"/>
        <w:kinsoku w:val="0"/>
        <w:overflowPunct w:val="0"/>
        <w:spacing w:after="0" w:line="215" w:lineRule="exact"/>
        <w:textAlignment w:val="baseline"/>
        <w:rPr>
          <w:rFonts w:ascii="Times New Roman" w:eastAsiaTheme="minorEastAsia" w:hAnsi="Times New Roman" w:cs="Times New Roman"/>
          <w:kern w:val="0"/>
          <w:sz w:val="19"/>
          <w:szCs w:val="19"/>
          <w:lang w:eastAsia="ro-RO"/>
        </w:rPr>
      </w:pPr>
      <w:r w:rsidRPr="008772D2">
        <w:rPr>
          <w:rFonts w:ascii="Times New Roman" w:eastAsiaTheme="minorEastAsia" w:hAnsi="Times New Roman" w:cs="Times New Roman"/>
          <w:kern w:val="0"/>
          <w:sz w:val="19"/>
          <w:szCs w:val="19"/>
          <w:lang w:eastAsia="ro-RO"/>
        </w:rPr>
        <w:t>*) reprezintă criterii eligibile.</w:t>
      </w:r>
    </w:p>
    <w:p w14:paraId="235BE095" w14:textId="77777777" w:rsidR="0029499B" w:rsidRDefault="0029499B"/>
    <w:sectPr w:rsidR="00294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1F"/>
    <w:rsid w:val="001734B9"/>
    <w:rsid w:val="0029499B"/>
    <w:rsid w:val="00D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4DC99"/>
  <w15:chartTrackingRefBased/>
  <w15:docId w15:val="{07C2C0BE-DFE5-4E23-A646-E696FA13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973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VasadiCarmen</dc:creator>
  <cp:keywords/>
  <dc:description/>
  <cp:lastModifiedBy>VasadiCarmen</cp:lastModifiedBy>
  <cp:revision>1</cp:revision>
  <dcterms:created xsi:type="dcterms:W3CDTF">2023-09-21T13:20:00Z</dcterms:created>
  <dcterms:modified xsi:type="dcterms:W3CDTF">2023-09-21T13:42:00Z</dcterms:modified>
</cp:coreProperties>
</file>